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Разработка учебно- методического обеспечения дополнительных образовательных программ</w:t>
            </w:r>
          </w:p>
          <w:p>
            <w:pPr>
              <w:jc w:val="center"/>
              <w:spacing w:after="0" w:line="240" w:lineRule="auto"/>
              <w:rPr>
                <w:sz w:val="32"/>
                <w:szCs w:val="32"/>
              </w:rPr>
            </w:pPr>
            <w:r>
              <w:rPr>
                <w:rFonts w:ascii="Times New Roman" w:hAnsi="Times New Roman" w:cs="Times New Roman"/>
                <w:color w:val="#000000"/>
                <w:sz w:val="32"/>
                <w:szCs w:val="32"/>
              </w:rPr>
              <w:t> К.М.05.ДВ.01.02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«Дополнительное образование детей»</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441.04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«Разработка учебно -методического обеспечения дополнительных образовательных программ»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К.М.05.ДВ.01.02 «Разработка учебно-методического обеспечения дополнительных образовательных программ».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«Разработка учебно-методического обеспечения дополнительных образовательных программ»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 методов и приемов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нормативно-правовые  акты  регламентирующие деятельность  в  условиях дополнительного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отбирать  формы, методы  и  приемы  педагогического сопровождения,  в соответствии  с возрастными  и  психологическим особенностями учащихся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профессиональными  практическими  умениями,  необходимыми  для методического  сопровождения ребенка  в  системе  дополнительного образования детей</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педагогические процессы в условиях дополнительного образования, использовать при этом методологию и методы педагогического исследования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особенности педагогических  процессов различного  типа  в  условиях дополнительного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отбирать соответствующие  методы  и  приемы педагогического исследования  в процессе  конструирования педагогических  процессов  в условиях дополнительного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профессиональными  практическими  умениями,  необходимыми  для конструирования  педагогических процессов  различного  типа  в условиях дополнительного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методическое сопровождение педагогов в процессе проектирования и реализации дополнительных общеобразовательных программ</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методы  и  приемы осуществления  методической  поддержки  педагогов</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особенности методического  обеспечения образовательного  процесса, нормативные требования к нему</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анализировать состояние  методической  работы педагога</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планировать методическую  работу педагога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приемами методического  сопровождения педагогов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владеть приемами  экспертной деятельности  при  проектировании образовательных программ</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К.М.05.ДВ.01.02 «Разработка учебно-методического обеспечения дополнительных образовательных программ» относится к обязательной части, является дисциплиной Блока Б1. «Дисциплины (модули)». Модуль "Методическая деятельность педагога дополнительного образования детей"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учебных занятий в дополнительном образовании детей</w:t>
            </w:r>
          </w:p>
          <w:p>
            <w:pPr>
              <w:jc w:val="center"/>
              <w:spacing w:after="0" w:line="240" w:lineRule="auto"/>
              <w:rPr>
                <w:sz w:val="22"/>
                <w:szCs w:val="22"/>
              </w:rPr>
            </w:pPr>
            <w:r>
              <w:rPr>
                <w:rFonts w:ascii="Times New Roman" w:hAnsi="Times New Roman" w:cs="Times New Roman"/>
                <w:color w:val="#000000"/>
                <w:sz w:val="22"/>
                <w:szCs w:val="22"/>
              </w:rPr>
              <w:t> Модуль "Методическая деятельность педагога дополнительного образования детей"</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Инновационная деятельность в дополнительном образовании</w:t>
            </w:r>
          </w:p>
          <w:p>
            <w:pPr>
              <w:jc w:val="center"/>
              <w:spacing w:after="0" w:line="240" w:lineRule="auto"/>
              <w:rPr>
                <w:sz w:val="22"/>
                <w:szCs w:val="22"/>
              </w:rPr>
            </w:pPr>
            <w:r>
              <w:rPr>
                <w:rFonts w:ascii="Times New Roman" w:hAnsi="Times New Roman" w:cs="Times New Roman"/>
                <w:color w:val="#000000"/>
                <w:sz w:val="22"/>
                <w:szCs w:val="22"/>
              </w:rPr>
              <w:t> Модуль "Педагогическая деятельность в дополнительном образовании"</w:t>
            </w:r>
          </w:p>
          <w:p>
            <w:pPr>
              <w:jc w:val="center"/>
              <w:spacing w:after="0" w:line="240" w:lineRule="auto"/>
              <w:rPr>
                <w:sz w:val="22"/>
                <w:szCs w:val="22"/>
              </w:rPr>
            </w:pPr>
            <w:r>
              <w:rPr>
                <w:rFonts w:ascii="Times New Roman" w:hAnsi="Times New Roman" w:cs="Times New Roman"/>
                <w:color w:val="#000000"/>
                <w:sz w:val="22"/>
                <w:szCs w:val="22"/>
              </w:rPr>
              <w:t> Модуль "Теория и практика исследований в дополнительном образовании детей"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ПК-4, ПК-5</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Разработка учебно-методического обеспечения дополнительных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Нормативно-правовые документы УДОД, ФГОС. Образовательная программа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образовательные результаты программ дополнительного образования детей в соответствии с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образовательной программы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образовательные результаты программ дополнительного образования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384.8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Нормативно-правовые документы УДОД, ФГОС. Образовательная программа дополнительного образования</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2 Нормативно-правовые документы:</w:t>
            </w:r>
          </w:p>
          <w:p>
            <w:pPr>
              <w:jc w:val="both"/>
              <w:spacing w:after="0" w:line="240" w:lineRule="auto"/>
              <w:rPr>
                <w:sz w:val="24"/>
                <w:szCs w:val="24"/>
              </w:rPr>
            </w:pPr>
            <w:r>
              <w:rPr>
                <w:rFonts w:ascii="Times New Roman" w:hAnsi="Times New Roman" w:cs="Times New Roman"/>
                <w:color w:val="#000000"/>
                <w:sz w:val="24"/>
                <w:szCs w:val="24"/>
              </w:rPr>
              <w:t> Оформление и содержание структурных элементов программы дополнительного образования детей: Программа дополнительного образования должна содержать следующие структурные элементы: титульный лист; информационная карта; пояснительная записка; учебно-тематический план; содержание изучаемого курса; методическое обеспечение дополнительной образовательной программы; список литературы; приложения (календарно-тематическое планирование).</w:t>
            </w:r>
          </w:p>
          <w:p>
            <w:pPr>
              <w:jc w:val="both"/>
              <w:spacing w:after="0" w:line="240" w:lineRule="auto"/>
              <w:rPr>
                <w:sz w:val="24"/>
                <w:szCs w:val="24"/>
              </w:rPr>
            </w:pPr>
            <w:r>
              <w:rPr>
                <w:rFonts w:ascii="Times New Roman" w:hAnsi="Times New Roman" w:cs="Times New Roman"/>
                <w:color w:val="#000000"/>
                <w:sz w:val="24"/>
                <w:szCs w:val="24"/>
              </w:rPr>
              <w:t> Пояснительная записка. В пояснительной записке к программе дополнительного образования детей следует раскрыть: Направленность дополнительной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Новые образовательные результаты программ дополнительного образования детей в соответствии с ФГОС</w:t>
            </w:r>
          </w:p>
        </w:tc>
      </w:tr>
      <w:tr>
        <w:trPr>
          <w:trHeight w:hRule="exact" w:val="4088.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Методическое сопровождение учебной работы педагога:</w:t>
            </w:r>
          </w:p>
          <w:p>
            <w:pPr>
              <w:jc w:val="both"/>
              <w:spacing w:after="0" w:line="240" w:lineRule="auto"/>
              <w:rPr>
                <w:sz w:val="24"/>
                <w:szCs w:val="24"/>
              </w:rPr>
            </w:pPr>
            <w:r>
              <w:rPr>
                <w:rFonts w:ascii="Times New Roman" w:hAnsi="Times New Roman" w:cs="Times New Roman"/>
                <w:color w:val="#000000"/>
                <w:sz w:val="24"/>
                <w:szCs w:val="24"/>
              </w:rPr>
              <w:t> • методика контроля усвоения учащимися учебного материала;</w:t>
            </w:r>
          </w:p>
          <w:p>
            <w:pPr>
              <w:jc w:val="both"/>
              <w:spacing w:after="0" w:line="240" w:lineRule="auto"/>
              <w:rPr>
                <w:sz w:val="24"/>
                <w:szCs w:val="24"/>
              </w:rPr>
            </w:pPr>
            <w:r>
              <w:rPr>
                <w:rFonts w:ascii="Times New Roman" w:hAnsi="Times New Roman" w:cs="Times New Roman"/>
                <w:color w:val="#000000"/>
                <w:sz w:val="24"/>
                <w:szCs w:val="24"/>
              </w:rPr>
              <w:t> • методика диагностики (стимулирования) творческой активности</w:t>
            </w:r>
          </w:p>
          <w:p>
            <w:pPr>
              <w:jc w:val="both"/>
              <w:spacing w:after="0" w:line="240" w:lineRule="auto"/>
              <w:rPr>
                <w:sz w:val="24"/>
                <w:szCs w:val="24"/>
              </w:rPr>
            </w:pPr>
            <w:r>
              <w:rPr>
                <w:rFonts w:ascii="Times New Roman" w:hAnsi="Times New Roman" w:cs="Times New Roman"/>
                <w:color w:val="#000000"/>
                <w:sz w:val="24"/>
                <w:szCs w:val="24"/>
              </w:rPr>
              <w:t> учащихся;</w:t>
            </w:r>
          </w:p>
          <w:p>
            <w:pPr>
              <w:jc w:val="both"/>
              <w:spacing w:after="0" w:line="240" w:lineRule="auto"/>
              <w:rPr>
                <w:sz w:val="24"/>
                <w:szCs w:val="24"/>
              </w:rPr>
            </w:pPr>
            <w:r>
              <w:rPr>
                <w:rFonts w:ascii="Times New Roman" w:hAnsi="Times New Roman" w:cs="Times New Roman"/>
                <w:color w:val="#000000"/>
                <w:sz w:val="24"/>
                <w:szCs w:val="24"/>
              </w:rPr>
              <w:t> • авторские методики проведения занятия по конкретной теме;</w:t>
            </w:r>
          </w:p>
          <w:p>
            <w:pPr>
              <w:jc w:val="both"/>
              <w:spacing w:after="0" w:line="240" w:lineRule="auto"/>
              <w:rPr>
                <w:sz w:val="24"/>
                <w:szCs w:val="24"/>
              </w:rPr>
            </w:pPr>
            <w:r>
              <w:rPr>
                <w:rFonts w:ascii="Times New Roman" w:hAnsi="Times New Roman" w:cs="Times New Roman"/>
                <w:color w:val="#000000"/>
                <w:sz w:val="24"/>
                <w:szCs w:val="24"/>
              </w:rPr>
              <w:t> • методы обновления содержания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воспитательной работы педагога:</w:t>
            </w:r>
          </w:p>
          <w:p>
            <w:pPr>
              <w:jc w:val="both"/>
              <w:spacing w:after="0" w:line="240" w:lineRule="auto"/>
              <w:rPr>
                <w:sz w:val="24"/>
                <w:szCs w:val="24"/>
              </w:rPr>
            </w:pPr>
            <w:r>
              <w:rPr>
                <w:rFonts w:ascii="Times New Roman" w:hAnsi="Times New Roman" w:cs="Times New Roman"/>
                <w:color w:val="#000000"/>
                <w:sz w:val="24"/>
                <w:szCs w:val="24"/>
              </w:rPr>
              <w:t> • методика формирования детского коллектива;</w:t>
            </w:r>
          </w:p>
          <w:p>
            <w:pPr>
              <w:jc w:val="both"/>
              <w:spacing w:after="0" w:line="240" w:lineRule="auto"/>
              <w:rPr>
                <w:sz w:val="24"/>
                <w:szCs w:val="24"/>
              </w:rPr>
            </w:pPr>
            <w:r>
              <w:rPr>
                <w:rFonts w:ascii="Times New Roman" w:hAnsi="Times New Roman" w:cs="Times New Roman"/>
                <w:color w:val="#000000"/>
                <w:sz w:val="24"/>
                <w:szCs w:val="24"/>
              </w:rPr>
              <w:t> • методика выявления неформального лидера в детском коллективе;</w:t>
            </w:r>
          </w:p>
          <w:p>
            <w:pPr>
              <w:jc w:val="both"/>
              <w:spacing w:after="0" w:line="240" w:lineRule="auto"/>
              <w:rPr>
                <w:sz w:val="24"/>
                <w:szCs w:val="24"/>
              </w:rPr>
            </w:pPr>
            <w:r>
              <w:rPr>
                <w:rFonts w:ascii="Times New Roman" w:hAnsi="Times New Roman" w:cs="Times New Roman"/>
                <w:color w:val="#000000"/>
                <w:sz w:val="24"/>
                <w:szCs w:val="24"/>
              </w:rPr>
              <w:t> • методика организации воспитательной работы;</w:t>
            </w:r>
          </w:p>
          <w:p>
            <w:pPr>
              <w:jc w:val="both"/>
              <w:spacing w:after="0" w:line="240" w:lineRule="auto"/>
              <w:rPr>
                <w:sz w:val="24"/>
                <w:szCs w:val="24"/>
              </w:rPr>
            </w:pPr>
            <w:r>
              <w:rPr>
                <w:rFonts w:ascii="Times New Roman" w:hAnsi="Times New Roman" w:cs="Times New Roman"/>
                <w:color w:val="#000000"/>
                <w:sz w:val="24"/>
                <w:szCs w:val="24"/>
              </w:rPr>
              <w:t> работы педагога по организации учебного процесса:</w:t>
            </w:r>
          </w:p>
          <w:p>
            <w:pPr>
              <w:jc w:val="both"/>
              <w:spacing w:after="0" w:line="240" w:lineRule="auto"/>
              <w:rPr>
                <w:sz w:val="24"/>
                <w:szCs w:val="24"/>
              </w:rPr>
            </w:pPr>
            <w:r>
              <w:rPr>
                <w:rFonts w:ascii="Times New Roman" w:hAnsi="Times New Roman" w:cs="Times New Roman"/>
                <w:color w:val="#000000"/>
                <w:sz w:val="24"/>
                <w:szCs w:val="24"/>
              </w:rPr>
              <w:t> • методика комплектования учебной группы;</w:t>
            </w:r>
          </w:p>
          <w:p>
            <w:pPr>
              <w:jc w:val="both"/>
              <w:spacing w:after="0" w:line="240" w:lineRule="auto"/>
              <w:rPr>
                <w:sz w:val="24"/>
                <w:szCs w:val="24"/>
              </w:rPr>
            </w:pPr>
            <w:r>
              <w:rPr>
                <w:rFonts w:ascii="Times New Roman" w:hAnsi="Times New Roman" w:cs="Times New Roman"/>
                <w:color w:val="#000000"/>
                <w:sz w:val="24"/>
                <w:szCs w:val="24"/>
              </w:rPr>
              <w:t> • методика анализа результатов деятельности;</w:t>
            </w:r>
          </w:p>
          <w:p>
            <w:pPr>
              <w:jc w:val="both"/>
              <w:spacing w:after="0" w:line="240" w:lineRule="auto"/>
              <w:rPr>
                <w:sz w:val="24"/>
                <w:szCs w:val="24"/>
              </w:rPr>
            </w:pPr>
            <w:r>
              <w:rPr>
                <w:rFonts w:ascii="Times New Roman" w:hAnsi="Times New Roman" w:cs="Times New Roman"/>
                <w:color w:val="#000000"/>
                <w:sz w:val="24"/>
                <w:szCs w:val="24"/>
              </w:rPr>
              <w:t> Методическое сопровождение массовой работы:</w:t>
            </w:r>
          </w:p>
          <w:p>
            <w:pPr>
              <w:jc w:val="both"/>
              <w:spacing w:after="0" w:line="240" w:lineRule="auto"/>
              <w:rPr>
                <w:sz w:val="24"/>
                <w:szCs w:val="24"/>
              </w:rPr>
            </w:pPr>
            <w:r>
              <w:rPr>
                <w:rFonts w:ascii="Times New Roman" w:hAnsi="Times New Roman" w:cs="Times New Roman"/>
                <w:color w:val="#000000"/>
                <w:sz w:val="24"/>
                <w:szCs w:val="24"/>
              </w:rPr>
              <w:t> • методика организации и проведения массового мероприятия (выставки, конкурса,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соревнования, праздника, игровой программы);</w:t>
            </w:r>
          </w:p>
          <w:p>
            <w:pPr>
              <w:jc w:val="both"/>
              <w:spacing w:after="0" w:line="240" w:lineRule="auto"/>
              <w:rPr>
                <w:sz w:val="24"/>
                <w:szCs w:val="24"/>
              </w:rPr>
            </w:pPr>
            <w:r>
              <w:rPr>
                <w:rFonts w:ascii="Times New Roman" w:hAnsi="Times New Roman" w:cs="Times New Roman"/>
                <w:color w:val="#000000"/>
                <w:sz w:val="24"/>
                <w:szCs w:val="24"/>
              </w:rPr>
              <w:t> • план и методика проведения родительского собрания;</w:t>
            </w:r>
          </w:p>
          <w:p>
            <w:pPr>
              <w:jc w:val="both"/>
              <w:spacing w:after="0" w:line="240" w:lineRule="auto"/>
              <w:rPr>
                <w:sz w:val="24"/>
                <w:szCs w:val="24"/>
              </w:rPr>
            </w:pPr>
            <w:r>
              <w:rPr>
                <w:rFonts w:ascii="Times New Roman" w:hAnsi="Times New Roman" w:cs="Times New Roman"/>
                <w:color w:val="#000000"/>
                <w:sz w:val="24"/>
                <w:szCs w:val="24"/>
              </w:rPr>
              <w:t> • сценарный план проведения «Дня открытых дверей» и т.п.</w:t>
            </w:r>
          </w:p>
          <w:p>
            <w:pPr>
              <w:jc w:val="both"/>
              <w:spacing w:after="0" w:line="240" w:lineRule="auto"/>
              <w:rPr>
                <w:sz w:val="24"/>
                <w:szCs w:val="24"/>
              </w:rPr>
            </w:pPr>
            <w:r>
              <w:rPr>
                <w:rFonts w:ascii="Times New Roman" w:hAnsi="Times New Roman" w:cs="Times New Roman"/>
                <w:color w:val="#000000"/>
                <w:sz w:val="24"/>
                <w:szCs w:val="24"/>
              </w:rPr>
              <w:t> Виды методической продукции:</w:t>
            </w:r>
          </w:p>
          <w:p>
            <w:pPr>
              <w:jc w:val="both"/>
              <w:spacing w:after="0" w:line="240" w:lineRule="auto"/>
              <w:rPr>
                <w:sz w:val="24"/>
                <w:szCs w:val="24"/>
              </w:rPr>
            </w:pPr>
            <w:r>
              <w:rPr>
                <w:rFonts w:ascii="Times New Roman" w:hAnsi="Times New Roman" w:cs="Times New Roman"/>
                <w:color w:val="#000000"/>
                <w:sz w:val="24"/>
                <w:szCs w:val="24"/>
              </w:rPr>
              <w:t> • методическое руководство, методическое описание, методические рекомендации, методические указания, методическое пособие, методическая разработка, методическая инструкция;</w:t>
            </w:r>
          </w:p>
          <w:p>
            <w:pPr>
              <w:jc w:val="both"/>
              <w:spacing w:after="0" w:line="240" w:lineRule="auto"/>
              <w:rPr>
                <w:sz w:val="24"/>
                <w:szCs w:val="24"/>
              </w:rPr>
            </w:pPr>
            <w:r>
              <w:rPr>
                <w:rFonts w:ascii="Times New Roman" w:hAnsi="Times New Roman" w:cs="Times New Roman"/>
                <w:color w:val="#000000"/>
                <w:sz w:val="24"/>
                <w:szCs w:val="24"/>
              </w:rPr>
              <w:t> • аннотация, бюллетень, информационно-методический сборник, статья, реферат, доклад, тезисы выступлений на конференции и др.</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образовательной программы дополнительного образования</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Новизна дополнительной образовательной программы предполагает:</w:t>
            </w:r>
          </w:p>
          <w:p>
            <w:pPr>
              <w:jc w:val="both"/>
              <w:spacing w:after="0" w:line="240" w:lineRule="auto"/>
              <w:rPr>
                <w:sz w:val="24"/>
                <w:szCs w:val="24"/>
              </w:rPr>
            </w:pPr>
            <w:r>
              <w:rPr>
                <w:rFonts w:ascii="Times New Roman" w:hAnsi="Times New Roman" w:cs="Times New Roman"/>
                <w:color w:val="#000000"/>
                <w:sz w:val="24"/>
                <w:szCs w:val="24"/>
              </w:rPr>
              <w:t> — новое решение проблем дополнительного образования;</w:t>
            </w:r>
          </w:p>
          <w:p>
            <w:pPr>
              <w:jc w:val="both"/>
              <w:spacing w:after="0" w:line="240" w:lineRule="auto"/>
              <w:rPr>
                <w:sz w:val="24"/>
                <w:szCs w:val="24"/>
              </w:rPr>
            </w:pPr>
            <w:r>
              <w:rPr>
                <w:rFonts w:ascii="Times New Roman" w:hAnsi="Times New Roman" w:cs="Times New Roman"/>
                <w:color w:val="#000000"/>
                <w:sz w:val="24"/>
                <w:szCs w:val="24"/>
              </w:rPr>
              <w:t> — новые методики преподавания;</w:t>
            </w:r>
          </w:p>
          <w:p>
            <w:pPr>
              <w:jc w:val="both"/>
              <w:spacing w:after="0" w:line="240" w:lineRule="auto"/>
              <w:rPr>
                <w:sz w:val="24"/>
                <w:szCs w:val="24"/>
              </w:rPr>
            </w:pPr>
            <w:r>
              <w:rPr>
                <w:rFonts w:ascii="Times New Roman" w:hAnsi="Times New Roman" w:cs="Times New Roman"/>
                <w:color w:val="#000000"/>
                <w:sz w:val="24"/>
                <w:szCs w:val="24"/>
              </w:rPr>
              <w:t> — новые педагогические технологии в проведении занятий;</w:t>
            </w:r>
          </w:p>
          <w:p>
            <w:pPr>
              <w:jc w:val="both"/>
              <w:spacing w:after="0" w:line="240" w:lineRule="auto"/>
              <w:rPr>
                <w:sz w:val="24"/>
                <w:szCs w:val="24"/>
              </w:rPr>
            </w:pPr>
            <w:r>
              <w:rPr>
                <w:rFonts w:ascii="Times New Roman" w:hAnsi="Times New Roman" w:cs="Times New Roman"/>
                <w:color w:val="#000000"/>
                <w:sz w:val="24"/>
                <w:szCs w:val="24"/>
              </w:rPr>
              <w:t> — нововведения в формах диагностики и подведения итогов реализации программы и т.д.</w:t>
            </w:r>
          </w:p>
          <w:p>
            <w:pPr>
              <w:jc w:val="both"/>
              <w:spacing w:after="0" w:line="240" w:lineRule="auto"/>
              <w:rPr>
                <w:sz w:val="24"/>
                <w:szCs w:val="24"/>
              </w:rPr>
            </w:pPr>
            <w:r>
              <w:rPr>
                <w:rFonts w:ascii="Times New Roman" w:hAnsi="Times New Roman" w:cs="Times New Roman"/>
                <w:color w:val="#000000"/>
                <w:sz w:val="24"/>
                <w:szCs w:val="24"/>
              </w:rPr>
              <w:t> Новизна указывается лишь в том случае, если она действительно имеется!</w:t>
            </w:r>
          </w:p>
          <w:p>
            <w:pPr>
              <w:jc w:val="both"/>
              <w:spacing w:after="0" w:line="240" w:lineRule="auto"/>
              <w:rPr>
                <w:sz w:val="24"/>
                <w:szCs w:val="24"/>
              </w:rPr>
            </w:pPr>
            <w:r>
              <w:rPr>
                <w:rFonts w:ascii="Times New Roman" w:hAnsi="Times New Roman" w:cs="Times New Roman"/>
                <w:color w:val="#000000"/>
                <w:sz w:val="24"/>
                <w:szCs w:val="24"/>
              </w:rPr>
              <w:t> - Актуальность (педагогическая целесообразность) дополнительной образовательной программы – ориентация на выполнение требований к содержанию программ дополнительного образования, а также на интеграцию и дополнение содержания предметных программ. Актуальность программы - это ответ на вопрос, зачем современным детям в современных условиях нужна конкретная программа.</w:t>
            </w:r>
          </w:p>
          <w:p>
            <w:pPr>
              <w:jc w:val="both"/>
              <w:spacing w:after="0" w:line="240" w:lineRule="auto"/>
              <w:rPr>
                <w:sz w:val="24"/>
                <w:szCs w:val="24"/>
              </w:rPr>
            </w:pPr>
            <w:r>
              <w:rPr>
                <w:rFonts w:ascii="Times New Roman" w:hAnsi="Times New Roman" w:cs="Times New Roman"/>
                <w:color w:val="#000000"/>
                <w:sz w:val="24"/>
                <w:szCs w:val="24"/>
              </w:rPr>
              <w:t> - Цель и задачи дополнительной образовательной программы</w:t>
            </w:r>
          </w:p>
          <w:p>
            <w:pPr>
              <w:jc w:val="both"/>
              <w:spacing w:after="0" w:line="240" w:lineRule="auto"/>
              <w:rPr>
                <w:sz w:val="24"/>
                <w:szCs w:val="24"/>
              </w:rPr>
            </w:pPr>
            <w:r>
              <w:rPr>
                <w:rFonts w:ascii="Times New Roman" w:hAnsi="Times New Roman" w:cs="Times New Roman"/>
                <w:color w:val="#000000"/>
                <w:sz w:val="24"/>
                <w:szCs w:val="24"/>
              </w:rPr>
              <w:t> При формулировании цели и задач программы следует помнить, что цель - это предполагаемый результат образовательного процесса, к которому необходимо стремиться. Поэтому в описании цели важно избежать общих абстрактных формулировок, таких, например, как «всестороннее развитие личности», «создание возможностей для творческого развития детей», «удовлетворение образовательных потребностей» и т.п. Такие формулировки не отражают специфики конкретной программы. Кроме того, цель должна быть связана с названием программы, отражать ее основную направленность.</w:t>
            </w:r>
          </w:p>
          <w:p>
            <w:pPr>
              <w:jc w:val="both"/>
              <w:spacing w:after="0" w:line="240" w:lineRule="auto"/>
              <w:rPr>
                <w:sz w:val="24"/>
                <w:szCs w:val="24"/>
              </w:rPr>
            </w:pPr>
            <w:r>
              <w:rPr>
                <w:rFonts w:ascii="Times New Roman" w:hAnsi="Times New Roman" w:cs="Times New Roman"/>
                <w:color w:val="#000000"/>
                <w:sz w:val="24"/>
                <w:szCs w:val="24"/>
              </w:rPr>
              <w:t> Конкретизация цели осуществляется через определение задач, раскрывающих пути достижения цели. Задачи показывают, что нужно сделать для достижения цели.</w:t>
            </w:r>
          </w:p>
          <w:p>
            <w:pPr>
              <w:jc w:val="both"/>
              <w:spacing w:after="0" w:line="240" w:lineRule="auto"/>
              <w:rPr>
                <w:sz w:val="24"/>
                <w:szCs w:val="24"/>
              </w:rPr>
            </w:pPr>
            <w:r>
              <w:rPr>
                <w:rFonts w:ascii="Times New Roman" w:hAnsi="Times New Roman" w:cs="Times New Roman"/>
                <w:color w:val="#000000"/>
                <w:sz w:val="24"/>
                <w:szCs w:val="24"/>
              </w:rPr>
              <w:t> Выделяются следующие типы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Новые образовательные результаты программ дополнительного образования детей</w:t>
            </w:r>
          </w:p>
        </w:tc>
      </w:tr>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5 Новые образовательные результаты программ дополнительного образования детей</w:t>
            </w:r>
          </w:p>
          <w:p>
            <w:pPr>
              <w:jc w:val="both"/>
              <w:spacing w:after="0" w:line="240" w:lineRule="auto"/>
              <w:rPr>
                <w:sz w:val="24"/>
                <w:szCs w:val="24"/>
              </w:rPr>
            </w:pPr>
            <w:r>
              <w:rPr>
                <w:rFonts w:ascii="Times New Roman" w:hAnsi="Times New Roman" w:cs="Times New Roman"/>
                <w:color w:val="#000000"/>
                <w:sz w:val="24"/>
                <w:szCs w:val="24"/>
              </w:rPr>
              <w:t> Общеучебные: -формулирование познавательной цели; -поиск и выделение информации; -знаково-символические: моделирование-преобразование объекта из чувтственной формы в модель, где выделены существенные характеристики объекта (пространственно- графическая или знаково-символическая); преобразование модели с целью выявления общих законов, определяющих данную предметную область.</w:t>
            </w:r>
          </w:p>
          <w:p>
            <w:pPr>
              <w:jc w:val="both"/>
              <w:spacing w:after="0" w:line="240" w:lineRule="auto"/>
              <w:rPr>
                <w:sz w:val="24"/>
                <w:szCs w:val="24"/>
              </w:rPr>
            </w:pPr>
            <w:r>
              <w:rPr>
                <w:rFonts w:ascii="Times New Roman" w:hAnsi="Times New Roman" w:cs="Times New Roman"/>
                <w:color w:val="#000000"/>
                <w:sz w:val="24"/>
                <w:szCs w:val="24"/>
              </w:rPr>
              <w:t> Логические: -анализ с целью выделения признаков (существенных, несущественных); синтез как составление целого из частей, восполняя недостающие компоненты; -выбор оснований и критериев для сравнения, сериации, классификации объектов; -подведение под понятие, выведение следствий; -установление причинно-следственных связей; - построение логической цепи рассуждений; -доказательство; -выдвижение гипотез и их обоснование.</w:t>
            </w:r>
          </w:p>
          <w:p>
            <w:pPr>
              <w:jc w:val="both"/>
              <w:spacing w:after="0" w:line="240" w:lineRule="auto"/>
              <w:rPr>
                <w:sz w:val="24"/>
                <w:szCs w:val="24"/>
              </w:rPr>
            </w:pPr>
            <w:r>
              <w:rPr>
                <w:rFonts w:ascii="Times New Roman" w:hAnsi="Times New Roman" w:cs="Times New Roman"/>
                <w:color w:val="#000000"/>
                <w:sz w:val="24"/>
                <w:szCs w:val="24"/>
              </w:rPr>
              <w:t> Действия постановки и решения проблем: -формулирование проблемы; -самостоятельное создание способов решения проблем творческого и поискового характера.</w:t>
            </w:r>
          </w:p>
          <w:p>
            <w:pPr>
              <w:jc w:val="both"/>
              <w:spacing w:after="0" w:line="240" w:lineRule="auto"/>
              <w:rPr>
                <w:sz w:val="24"/>
                <w:szCs w:val="24"/>
              </w:rPr>
            </w:pPr>
            <w:r>
              <w:rPr>
                <w:rFonts w:ascii="Times New Roman" w:hAnsi="Times New Roman" w:cs="Times New Roman"/>
                <w:color w:val="#000000"/>
                <w:sz w:val="24"/>
                <w:szCs w:val="24"/>
              </w:rPr>
              <w:t> Регулятивные универсальные учебные действия обеспечивают обучающимся организацию их учебной деятельности.</w:t>
            </w:r>
          </w:p>
          <w:p>
            <w:pPr>
              <w:jc w:val="both"/>
              <w:spacing w:after="0" w:line="240" w:lineRule="auto"/>
              <w:rPr>
                <w:sz w:val="24"/>
                <w:szCs w:val="24"/>
              </w:rPr>
            </w:pPr>
            <w:r>
              <w:rPr>
                <w:rFonts w:ascii="Times New Roman" w:hAnsi="Times New Roman" w:cs="Times New Roman"/>
                <w:color w:val="#000000"/>
                <w:sz w:val="24"/>
                <w:szCs w:val="24"/>
              </w:rPr>
              <w:t> К ним относятся:</w:t>
            </w:r>
          </w:p>
          <w:p>
            <w:pPr>
              <w:jc w:val="both"/>
              <w:spacing w:after="0" w:line="240" w:lineRule="auto"/>
              <w:rPr>
                <w:sz w:val="24"/>
                <w:szCs w:val="24"/>
              </w:rPr>
            </w:pPr>
            <w:r>
              <w:rPr>
                <w:rFonts w:ascii="Times New Roman" w:hAnsi="Times New Roman" w:cs="Times New Roman"/>
                <w:color w:val="#000000"/>
                <w:sz w:val="24"/>
                <w:szCs w:val="24"/>
              </w:rPr>
              <w:t> Целеполагание (постановка учебной задачи на основе соотнесения того, что уже известно и усвоено обучающимися, и того, что ещё неизвестно).</w:t>
            </w:r>
          </w:p>
          <w:p>
            <w:pPr>
              <w:jc w:val="both"/>
              <w:spacing w:after="0" w:line="240" w:lineRule="auto"/>
              <w:rPr>
                <w:sz w:val="24"/>
                <w:szCs w:val="24"/>
              </w:rPr>
            </w:pPr>
            <w:r>
              <w:rPr>
                <w:rFonts w:ascii="Times New Roman" w:hAnsi="Times New Roman" w:cs="Times New Roman"/>
                <w:color w:val="#000000"/>
                <w:sz w:val="24"/>
                <w:szCs w:val="24"/>
              </w:rPr>
              <w:t> Планирование (определение последовательности промежуточных целей с учётом конечного результата; составление плана и последовательности действий).</w:t>
            </w:r>
          </w:p>
          <w:p>
            <w:pPr>
              <w:jc w:val="both"/>
              <w:spacing w:after="0" w:line="240" w:lineRule="auto"/>
              <w:rPr>
                <w:sz w:val="24"/>
                <w:szCs w:val="24"/>
              </w:rPr>
            </w:pPr>
            <w:r>
              <w:rPr>
                <w:rFonts w:ascii="Times New Roman" w:hAnsi="Times New Roman" w:cs="Times New Roman"/>
                <w:color w:val="#000000"/>
                <w:sz w:val="24"/>
                <w:szCs w:val="24"/>
              </w:rPr>
              <w:t> Прогнозирование (предвосхищение результата и уровня усвоения, его временных характеристик).</w:t>
            </w:r>
          </w:p>
          <w:p>
            <w:pPr>
              <w:jc w:val="both"/>
              <w:spacing w:after="0" w:line="240" w:lineRule="auto"/>
              <w:rPr>
                <w:sz w:val="24"/>
                <w:szCs w:val="24"/>
              </w:rPr>
            </w:pPr>
            <w:r>
              <w:rPr>
                <w:rFonts w:ascii="Times New Roman" w:hAnsi="Times New Roman" w:cs="Times New Roman"/>
                <w:color w:val="#000000"/>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pPr>
              <w:jc w:val="both"/>
              <w:spacing w:after="0" w:line="240" w:lineRule="auto"/>
              <w:rPr>
                <w:sz w:val="24"/>
                <w:szCs w:val="24"/>
              </w:rPr>
            </w:pPr>
            <w:r>
              <w:rPr>
                <w:rFonts w:ascii="Times New Roman" w:hAnsi="Times New Roman" w:cs="Times New Roman"/>
                <w:color w:val="#000000"/>
                <w:sz w:val="24"/>
                <w:szCs w:val="24"/>
              </w:rPr>
              <w:t> Коррекция (внесение необходимых дополнений и корректив в план и способ действия в случае расхождения эталона, реального действия и его продукта).</w:t>
            </w:r>
          </w:p>
          <w:p>
            <w:pPr>
              <w:jc w:val="both"/>
              <w:spacing w:after="0" w:line="240" w:lineRule="auto"/>
              <w:rPr>
                <w:sz w:val="24"/>
                <w:szCs w:val="24"/>
              </w:rPr>
            </w:pPr>
            <w:r>
              <w:rPr>
                <w:rFonts w:ascii="Times New Roman" w:hAnsi="Times New Roman" w:cs="Times New Roman"/>
                <w:color w:val="#000000"/>
                <w:sz w:val="24"/>
                <w:szCs w:val="24"/>
              </w:rPr>
              <w:t> Оценка (выделение и осознание обучающимися того, что уже усвоено и что ещё Подлежит усвоению, осознание качества и уровня усвоения).</w:t>
            </w:r>
          </w:p>
          <w:p>
            <w:pPr>
              <w:jc w:val="both"/>
              <w:spacing w:after="0" w:line="240" w:lineRule="auto"/>
              <w:rPr>
                <w:sz w:val="24"/>
                <w:szCs w:val="24"/>
              </w:rPr>
            </w:pPr>
            <w:r>
              <w:rPr>
                <w:rFonts w:ascii="Times New Roman" w:hAnsi="Times New Roman" w:cs="Times New Roman"/>
                <w:color w:val="#000000"/>
                <w:sz w:val="24"/>
                <w:szCs w:val="24"/>
              </w:rPr>
              <w:t> Волевая саморегуляция(способность к мобилизации сил и энергии; способность к волевому усилию — к выбору в ситуации мотивационного конфликта и к преодолению препятствий).</w:t>
            </w:r>
          </w:p>
          <w:p>
            <w:pPr>
              <w:jc w:val="both"/>
              <w:spacing w:after="0" w:line="240" w:lineRule="auto"/>
              <w:rPr>
                <w:sz w:val="24"/>
                <w:szCs w:val="24"/>
              </w:rPr>
            </w:pPr>
            <w:r>
              <w:rPr>
                <w:rFonts w:ascii="Times New Roman" w:hAnsi="Times New Roman" w:cs="Times New Roman"/>
                <w:color w:val="#000000"/>
                <w:sz w:val="24"/>
                <w:szCs w:val="24"/>
              </w:rPr>
              <w:t> Коммуникативные универсальные учебные действия обеспечивают возможность сотрудничества — умение слышать, слушать и понимать партнёра,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в речи, уважать в общении и сотрудничества партнёра и самого себя.</w:t>
            </w:r>
          </w:p>
          <w:p>
            <w:pPr>
              <w:jc w:val="both"/>
              <w:spacing w:after="0" w:line="240" w:lineRule="auto"/>
              <w:rPr>
                <w:sz w:val="24"/>
                <w:szCs w:val="24"/>
              </w:rPr>
            </w:pPr>
            <w:r>
              <w:rPr>
                <w:rFonts w:ascii="Times New Roman" w:hAnsi="Times New Roman" w:cs="Times New Roman"/>
                <w:color w:val="#000000"/>
                <w:sz w:val="24"/>
                <w:szCs w:val="24"/>
              </w:rPr>
              <w:t> Планирование (определение цели, функций участников, способов взаимодействия).</w:t>
            </w:r>
          </w:p>
          <w:p>
            <w:pPr>
              <w:jc w:val="both"/>
              <w:spacing w:after="0" w:line="240" w:lineRule="auto"/>
              <w:rPr>
                <w:sz w:val="24"/>
                <w:szCs w:val="24"/>
              </w:rPr>
            </w:pPr>
            <w:r>
              <w:rPr>
                <w:rFonts w:ascii="Times New Roman" w:hAnsi="Times New Roman" w:cs="Times New Roman"/>
                <w:color w:val="#000000"/>
                <w:sz w:val="24"/>
                <w:szCs w:val="24"/>
              </w:rPr>
              <w:t> Постановка вопросов(инициативное сотрудничество в поиске и сборе информации).</w:t>
            </w:r>
          </w:p>
          <w:p>
            <w:pPr>
              <w:jc w:val="both"/>
              <w:spacing w:after="0" w:line="240" w:lineRule="auto"/>
              <w:rPr>
                <w:sz w:val="24"/>
                <w:szCs w:val="24"/>
              </w:rPr>
            </w:pPr>
            <w:r>
              <w:rPr>
                <w:rFonts w:ascii="Times New Roman" w:hAnsi="Times New Roman" w:cs="Times New Roman"/>
                <w:color w:val="#000000"/>
                <w:sz w:val="24"/>
                <w:szCs w:val="24"/>
              </w:rPr>
              <w:t> Разрешение конфликтов(выявление, идентификация проблемы, поиск и оценка альтернативных способов разрешения конфликта, принятие решения и его реализация).</w:t>
            </w:r>
          </w:p>
          <w:p>
            <w:pPr>
              <w:jc w:val="both"/>
              <w:spacing w:after="0" w:line="240" w:lineRule="auto"/>
              <w:rPr>
                <w:sz w:val="24"/>
                <w:szCs w:val="24"/>
              </w:rPr>
            </w:pPr>
            <w:r>
              <w:rPr>
                <w:rFonts w:ascii="Times New Roman" w:hAnsi="Times New Roman" w:cs="Times New Roman"/>
                <w:color w:val="#000000"/>
                <w:sz w:val="24"/>
                <w:szCs w:val="24"/>
              </w:rPr>
              <w:t> Управление поведением партнёра точностью выражать свои мысли(контроль, коррекция, оценка действий партнёра, умение с достаточной полнотой и точностью выражать свои мысли).</w:t>
            </w:r>
          </w:p>
          <w:p>
            <w:pPr>
              <w:jc w:val="both"/>
              <w:spacing w:after="0" w:line="240" w:lineRule="auto"/>
              <w:rPr>
                <w:sz w:val="24"/>
                <w:szCs w:val="24"/>
              </w:rPr>
            </w:pPr>
            <w:r>
              <w:rPr>
                <w:rFonts w:ascii="Times New Roman" w:hAnsi="Times New Roman" w:cs="Times New Roman"/>
                <w:color w:val="#000000"/>
                <w:sz w:val="24"/>
                <w:szCs w:val="24"/>
              </w:rPr>
              <w:t> Предметным результатом обучающихся является освоенный обучающимися в ходе изучения дополнительной образовательной программы опыт специфической деятельности по получению продукта (нового знания), его преобразованию и применению.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«Разработка учебно-методического обеспечения дополнительных образовательных программ» / Арбузова Е.Н..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программам</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Криницкая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978-5-534-89561-2.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https://urait.ru/bcode/437130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выживанию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Бочарова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Бочаров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978-5-534-08521-1.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https://urait.ru/bcode/428645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программам</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Криницкая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978-5-534-00304-8.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https://urait.ru/bcode/414650</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программам</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избранной</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Тарханова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978-5-534-06828-3.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https://urait.ru/bcode/455055</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83.7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02.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2023-2024_ФГОС3++2023_Маг-ЗФО-ПО(ДО)(23)_plx_Разработка учебно-методического обеспечения дополнительных образовательных программ</dc:title>
  <dc:creator>FastReport.NET</dc:creator>
</cp:coreProperties>
</file>